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96" w:rsidRDefault="007D0296" w:rsidP="007D02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</w:p>
    <w:p w:rsidR="007D0296" w:rsidRDefault="007D0296" w:rsidP="007D02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Omdat het beleid van de overheid gericht is op het stimuleren dat ouderen zo lang mogelijk in de thuissituatie verblijven, ziet u steeds meer kwetsbare ouderen op het spreekuur in de huisartsenpraktijk. De zorg voor deze kwetsbare groep kent</w:t>
      </w:r>
      <w:r w:rsid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een aantal bijzondere karakteristieken. </w:t>
      </w: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Leerpunt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KOEL heeft in samenwerking met het NHG en </w:t>
      </w: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DOKh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, onder supervisie van de expertgroep </w:t>
      </w: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Laego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, deze onafhankelijke, actuele en praktijkgerichte nascholing ontwik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keld voor huisartsen, p</w:t>
      </w:r>
      <w:r w:rsid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raktijkondersteuners en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(praktijk)</w:t>
      </w:r>
      <w:r w:rsid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verpleegkundigen.</w:t>
      </w:r>
    </w:p>
    <w:p w:rsidR="00206D35" w:rsidRPr="00206D35" w:rsidRDefault="00206D35" w:rsidP="00206D35">
      <w:pPr>
        <w:spacing w:before="100" w:beforeAutospacing="1" w:after="0" w:line="240" w:lineRule="auto"/>
        <w:rPr>
          <w:rFonts w:ascii="Arial" w:eastAsia="Times New Roman" w:hAnsi="Arial" w:cs="Arial"/>
          <w:b/>
          <w:color w:val="004083"/>
          <w:sz w:val="20"/>
          <w:szCs w:val="20"/>
          <w:lang w:eastAsia="nl-NL"/>
        </w:rPr>
      </w:pPr>
      <w:r w:rsidRPr="00206D35">
        <w:rPr>
          <w:rFonts w:ascii="Arial" w:eastAsia="Times New Roman" w:hAnsi="Arial" w:cs="Arial"/>
          <w:b/>
          <w:color w:val="004083"/>
          <w:sz w:val="20"/>
          <w:szCs w:val="20"/>
          <w:lang w:eastAsia="nl-NL"/>
        </w:rPr>
        <w:t>Inhoud</w:t>
      </w:r>
    </w:p>
    <w:p w:rsidR="007D0296" w:rsidRPr="00F21B89" w:rsidRDefault="007D0296" w:rsidP="007D0296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Hoe gaat u daadkrachtig aan de slag met Ouderenzorg?</w:t>
      </w:r>
    </w:p>
    <w:p w:rsidR="007D0296" w:rsidRPr="00F21B89" w:rsidRDefault="007D0296" w:rsidP="007D0296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Werkt u samen met ander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</w:t>
      </w: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professionals?</w:t>
      </w:r>
    </w:p>
    <w:p w:rsidR="007D0296" w:rsidRDefault="007D0296" w:rsidP="007D0296">
      <w:pPr>
        <w:pStyle w:val="Lijstalinea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ziekenhuis</w:t>
      </w:r>
    </w:p>
    <w:p w:rsidR="00206D35" w:rsidRPr="00F21B89" w:rsidRDefault="00206D35" w:rsidP="007D0296">
      <w:pPr>
        <w:pStyle w:val="Lijstalinea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De wijkverpleging</w:t>
      </w:r>
    </w:p>
    <w:p w:rsidR="007D0296" w:rsidRPr="00F21B89" w:rsidRDefault="007D0296" w:rsidP="007D0296">
      <w:pPr>
        <w:pStyle w:val="Lijstalinea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Met mantelzorgers</w:t>
      </w:r>
    </w:p>
    <w:p w:rsidR="007D0296" w:rsidRPr="00F21B89" w:rsidRDefault="007D0296" w:rsidP="007D0296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Is er samenwerking met de gemeente, en wie of wat heeft u daarbij nodig?</w:t>
      </w:r>
    </w:p>
    <w:p w:rsidR="007D0296" w:rsidRPr="00F21B89" w:rsidRDefault="007D0296" w:rsidP="007D0296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Hoe communiceert u met elkaar?</w:t>
      </w:r>
    </w:p>
    <w:p w:rsidR="007D0296" w:rsidRPr="00F21B89" w:rsidRDefault="007D0296" w:rsidP="007D02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De leergang is zo opgebouwd dat er optimale afstemming is tussen de modulen uit de leergang voor de huisartsen</w:t>
      </w:r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, </w:t>
      </w:r>
      <w:r w:rsidR="007E6172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scholing </w:t>
      </w:r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via het NHG en de leergang voor de POH en verpleegkundigen, </w:t>
      </w:r>
      <w:r w:rsidR="007E6172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scholing </w:t>
      </w:r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via </w:t>
      </w:r>
      <w:proofErr w:type="spellStart"/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Leerpunt</w:t>
      </w:r>
      <w:proofErr w:type="spellEnd"/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KOEL en </w:t>
      </w:r>
      <w:proofErr w:type="spellStart"/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DOKh</w:t>
      </w:r>
      <w:proofErr w:type="spellEnd"/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waardoor de inzichten gemakkelijk kunnen worden toegepast </w:t>
      </w:r>
      <w:r w:rsidR="007E6172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in</w:t>
      </w:r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de eigen praktijk.</w:t>
      </w:r>
    </w:p>
    <w:p w:rsidR="007D0296" w:rsidRPr="00E01515" w:rsidRDefault="00B53E78" w:rsidP="00F21B89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Leer</w:t>
      </w:r>
      <w:r w:rsidR="007D0296"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doelen</w:t>
      </w:r>
      <w:proofErr w:type="spellEnd"/>
    </w:p>
    <w:p w:rsidR="007D0296" w:rsidRPr="007D0296" w:rsidRDefault="007D0296" w:rsidP="00F21B89">
      <w:pPr>
        <w:numPr>
          <w:ilvl w:val="0"/>
          <w:numId w:val="10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Bewustwording van het belang van het werken vanuit een praktijkplan en kennis over enkele aspecten daarvan</w:t>
      </w:r>
    </w:p>
    <w:p w:rsidR="007D0296" w:rsidRPr="007D0296" w:rsidRDefault="007D0296" w:rsidP="00F21B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vergroten van de kennis en inzicht op het gebied van geriatrische ziektebeelden en bijbehorende zorgproblemen</w:t>
      </w:r>
    </w:p>
    <w:p w:rsidR="007D0296" w:rsidRPr="007D0296" w:rsidRDefault="007D0296" w:rsidP="00F21B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kunnen toepassen van de screeningsinstrument(en)</w:t>
      </w:r>
    </w:p>
    <w:p w:rsidR="007D0296" w:rsidRPr="007D0296" w:rsidRDefault="007D0296" w:rsidP="00F21B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vergroten van het begrip van de cursist over kwetsbaarheid en passende inzet van zorg</w:t>
      </w:r>
    </w:p>
    <w:p w:rsidR="007D0296" w:rsidRPr="007D0296" w:rsidRDefault="007D0296" w:rsidP="00F21B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in staat zijn tot het maken van een individueel zorgbehandelplan</w:t>
      </w:r>
    </w:p>
    <w:p w:rsidR="007D0296" w:rsidRPr="00E01515" w:rsidRDefault="007D0296" w:rsidP="00F21B8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eastAsia="nl-NL"/>
        </w:rPr>
      </w:pPr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eastAsia="nl-NL"/>
        </w:rPr>
        <w:t>Per bijeenkomst</w:t>
      </w:r>
      <w:r w:rsidR="00F21B89"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eastAsia="nl-NL"/>
        </w:rPr>
        <w:t xml:space="preserve"> voor de POH - Verpleegkundige</w:t>
      </w:r>
    </w:p>
    <w:p w:rsidR="007D0296" w:rsidRPr="00E01515" w:rsidRDefault="007D0296" w:rsidP="00F21B89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1</w:t>
      </w:r>
    </w:p>
    <w:p w:rsidR="007D0296" w:rsidRPr="007D0296" w:rsidRDefault="007D0296" w:rsidP="00E01515">
      <w:pPr>
        <w:numPr>
          <w:ilvl w:val="0"/>
          <w:numId w:val="21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Definitie</w:t>
      </w:r>
      <w:proofErr w:type="spellEnd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van </w:t>
      </w: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kwetsbaarheid</w:t>
      </w:r>
      <w:proofErr w:type="spellEnd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(NHG)</w:t>
      </w:r>
    </w:p>
    <w:p w:rsidR="007D0296" w:rsidRPr="007D0296" w:rsidRDefault="007D0296" w:rsidP="00E015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Epidemiologische</w:t>
      </w:r>
      <w:proofErr w:type="spellEnd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gegevens</w:t>
      </w:r>
      <w:proofErr w:type="spellEnd"/>
    </w:p>
    <w:p w:rsidR="007D0296" w:rsidRPr="00F21B89" w:rsidRDefault="00F21B89" w:rsidP="00E015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Gebruik van diverse identificatiemethoden, het zorgbehandelplan</w:t>
      </w:r>
    </w:p>
    <w:p w:rsidR="00F21B89" w:rsidRPr="00F21B89" w:rsidRDefault="00F21B89" w:rsidP="00E015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registreren in het HIS en de sociale kaart</w:t>
      </w:r>
    </w:p>
    <w:p w:rsidR="00F21B89" w:rsidRPr="007D0296" w:rsidRDefault="00F21B89" w:rsidP="00E015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Het maken van een praktijkplan</w:t>
      </w:r>
    </w:p>
    <w:p w:rsidR="007D0296" w:rsidRPr="00E01515" w:rsidRDefault="007D0296" w:rsidP="00F21B89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2 </w:t>
      </w:r>
    </w:p>
    <w:p w:rsidR="007D0296" w:rsidRPr="00F21B89" w:rsidRDefault="00F21B89" w:rsidP="00E01515">
      <w:pPr>
        <w:numPr>
          <w:ilvl w:val="0"/>
          <w:numId w:val="20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Therapietrouw en polyfarmacie</w:t>
      </w:r>
    </w:p>
    <w:p w:rsidR="00F21B89" w:rsidRPr="00F21B89" w:rsidRDefault="00F21B89" w:rsidP="00E015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Multimorbiditeit en het vervolg op het zorgbehandelplan</w:t>
      </w:r>
    </w:p>
    <w:p w:rsidR="00F21B89" w:rsidRPr="00F21B89" w:rsidRDefault="00F21B89" w:rsidP="00E015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Multidisciplinair overleg (MDO)</w:t>
      </w:r>
    </w:p>
    <w:p w:rsidR="00F21B89" w:rsidRPr="007D0296" w:rsidRDefault="00F21B89" w:rsidP="00E015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Gestructureerd Periodiek Overleg (GPO)</w:t>
      </w:r>
      <w:bookmarkStart w:id="0" w:name="_GoBack"/>
      <w:bookmarkEnd w:id="0"/>
    </w:p>
    <w:p w:rsidR="007D0296" w:rsidRPr="00E01515" w:rsidRDefault="007D0296" w:rsidP="00F21B8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3</w:t>
      </w:r>
    </w:p>
    <w:p w:rsidR="007D0296" w:rsidRPr="007D0296" w:rsidRDefault="007D0296" w:rsidP="00E0151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(Psycho) </w:t>
      </w: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Geriatrische</w:t>
      </w:r>
      <w:proofErr w:type="spellEnd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ziektebeelden</w:t>
      </w:r>
      <w:proofErr w:type="spellEnd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, Multi </w:t>
      </w:r>
      <w:proofErr w:type="spellStart"/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morbiditeit</w:t>
      </w:r>
      <w:proofErr w:type="spellEnd"/>
    </w:p>
    <w:p w:rsidR="007D0296" w:rsidRPr="00F21B89" w:rsidRDefault="00F21B89" w:rsidP="00E015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Samenwerken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casemanager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dementie</w:t>
      </w:r>
      <w:proofErr w:type="spellEnd"/>
    </w:p>
    <w:p w:rsidR="00F21B89" w:rsidRPr="00F21B89" w:rsidRDefault="00F21B89" w:rsidP="00E015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Omgaan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met </w:t>
      </w: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signalen</w:t>
      </w:r>
      <w:proofErr w:type="spellEnd"/>
    </w:p>
    <w:p w:rsidR="00F21B89" w:rsidRPr="007D0296" w:rsidRDefault="00F21B89" w:rsidP="00E015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Afnemen</w:t>
      </w:r>
      <w:proofErr w:type="spellEnd"/>
      <w:r w:rsidRPr="00F21B89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MMSE</w:t>
      </w:r>
    </w:p>
    <w:p w:rsidR="007D0296" w:rsidRPr="00E01515" w:rsidRDefault="007D0296" w:rsidP="00E0151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4</w:t>
      </w:r>
    </w:p>
    <w:p w:rsidR="007D0296" w:rsidRPr="007D0296" w:rsidRDefault="007D0296" w:rsidP="00E01515">
      <w:pPr>
        <w:numPr>
          <w:ilvl w:val="0"/>
          <w:numId w:val="18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Eindopdrachten presentatie </w:t>
      </w:r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praktijkplannen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r w:rsidR="00F21B89" w:rsidRPr="00F21B89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(</w:t>
      </w: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samen met de 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eigen </w:t>
      </w: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huisarts)</w:t>
      </w:r>
    </w:p>
    <w:p w:rsidR="00057C75" w:rsidRPr="00E01515" w:rsidRDefault="00057C75" w:rsidP="00057C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eastAsia="nl-NL"/>
        </w:rPr>
      </w:pPr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eastAsia="nl-NL"/>
        </w:rPr>
        <w:t>Per bijeenkomst voor de Huisarts</w:t>
      </w:r>
      <w:r w:rsidR="00B53E78"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eastAsia="nl-NL"/>
        </w:rPr>
        <w:t xml:space="preserve"> </w:t>
      </w:r>
    </w:p>
    <w:p w:rsidR="00B53E78" w:rsidRDefault="00B53E78" w:rsidP="00057C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</w:p>
    <w:p w:rsidR="00057C75" w:rsidRPr="00E01515" w:rsidRDefault="00057C75" w:rsidP="00057C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1</w:t>
      </w:r>
    </w:p>
    <w:p w:rsidR="00057C75" w:rsidRPr="00057C75" w:rsidRDefault="00057C75" w:rsidP="00E01515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Multimorbiditeit</w:t>
      </w:r>
      <w:proofErr w:type="spellEnd"/>
    </w:p>
    <w:p w:rsidR="00057C75" w:rsidRPr="00057C75" w:rsidRDefault="00057C75" w:rsidP="00E015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Functionele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geriatrie</w:t>
      </w:r>
      <w:proofErr w:type="spellEnd"/>
    </w:p>
    <w:p w:rsidR="00057C75" w:rsidRPr="00057C75" w:rsidRDefault="00057C75" w:rsidP="00E015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57C7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Proactieve zorg en het werken met een zorgbehandelplan</w:t>
      </w:r>
    </w:p>
    <w:p w:rsidR="00057C75" w:rsidRPr="007D0296" w:rsidRDefault="00057C75" w:rsidP="00E015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Bewust worden van een andere manier van omgaan met deze kwetsbare groep</w:t>
      </w:r>
    </w:p>
    <w:p w:rsidR="00057C75" w:rsidRPr="00E01515" w:rsidRDefault="00057C75" w:rsidP="00057C7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2 </w:t>
      </w:r>
    </w:p>
    <w:p w:rsidR="00057C75" w:rsidRDefault="00057C75" w:rsidP="00E01515">
      <w:pPr>
        <w:numPr>
          <w:ilvl w:val="0"/>
          <w:numId w:val="16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Medicatie voor ouderen en het medicatiereview (STRIP methode) bij polyfarmacie</w:t>
      </w:r>
    </w:p>
    <w:p w:rsidR="00057C75" w:rsidRPr="007D0296" w:rsidRDefault="00057C75" w:rsidP="00E015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Hoe kunt u de principes toepassen in uw dagelijkse patiënten zorg</w:t>
      </w:r>
    </w:p>
    <w:p w:rsidR="00057C75" w:rsidRPr="00E01515" w:rsidRDefault="00057C75" w:rsidP="00057C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3</w:t>
      </w:r>
    </w:p>
    <w:p w:rsidR="00057C75" w:rsidRDefault="00057C75" w:rsidP="00E01515">
      <w:pPr>
        <w:numPr>
          <w:ilvl w:val="0"/>
          <w:numId w:val="15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Dementie</w:t>
      </w:r>
      <w:proofErr w:type="spellEnd"/>
    </w:p>
    <w:p w:rsidR="00057C75" w:rsidRDefault="00057C75" w:rsidP="00E015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Delier</w:t>
      </w:r>
      <w:proofErr w:type="spellEnd"/>
    </w:p>
    <w:p w:rsidR="00057C75" w:rsidRPr="007D0296" w:rsidRDefault="00057C75" w:rsidP="00E015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Depressie</w:t>
      </w:r>
      <w:proofErr w:type="spellEnd"/>
    </w:p>
    <w:p w:rsidR="00057C75" w:rsidRPr="00E01515" w:rsidRDefault="00057C75" w:rsidP="00057C7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Bijeenkomst</w:t>
      </w:r>
      <w:proofErr w:type="spellEnd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 xml:space="preserve"> 4</w:t>
      </w:r>
    </w:p>
    <w:p w:rsidR="00057C75" w:rsidRDefault="00C80BCC" w:rsidP="00E01515">
      <w:pPr>
        <w:numPr>
          <w:ilvl w:val="0"/>
          <w:numId w:val="13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Mobiliteit, bewegen en vallen</w:t>
      </w:r>
    </w:p>
    <w:p w:rsidR="00C80BCC" w:rsidRDefault="00C80BCC" w:rsidP="00E01515">
      <w:pPr>
        <w:numPr>
          <w:ilvl w:val="0"/>
          <w:numId w:val="13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Bespreken van het niet reanimeren/behandelen verklaring</w:t>
      </w:r>
    </w:p>
    <w:p w:rsidR="00C80BCC" w:rsidRPr="007D0296" w:rsidRDefault="00C80BCC" w:rsidP="00E01515">
      <w:pPr>
        <w:numPr>
          <w:ilvl w:val="0"/>
          <w:numId w:val="13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Presentatie bijwonen 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v</w:t>
      </w: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an de praktijkplannen door de POH</w:t>
      </w:r>
    </w:p>
    <w:p w:rsidR="00E01515" w:rsidRPr="00E01515" w:rsidRDefault="007D0296" w:rsidP="00E0151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b/>
          <w:bCs/>
          <w:color w:val="004083"/>
          <w:sz w:val="20"/>
          <w:szCs w:val="20"/>
          <w:lang w:val="en" w:eastAsia="nl-NL"/>
        </w:rPr>
        <w:t>Docenten</w:t>
      </w:r>
      <w:proofErr w:type="spellEnd"/>
    </w:p>
    <w:p w:rsidR="00206D35" w:rsidRPr="00E01515" w:rsidRDefault="00206D35" w:rsidP="00E01515">
      <w:pPr>
        <w:pStyle w:val="Lijstalinea"/>
        <w:numPr>
          <w:ilvl w:val="0"/>
          <w:numId w:val="12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val="en" w:eastAsia="nl-NL"/>
        </w:rPr>
      </w:pPr>
      <w:proofErr w:type="spellStart"/>
      <w:r w:rsidRPr="00E0151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Kaderarts</w:t>
      </w:r>
      <w:proofErr w:type="spellEnd"/>
      <w:r w:rsidRPr="00E0151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 w:rsidRPr="00E0151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ouderen</w:t>
      </w:r>
      <w:proofErr w:type="spellEnd"/>
      <w:r w:rsidRPr="00E0151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</w:t>
      </w:r>
      <w:proofErr w:type="spellStart"/>
      <w:r w:rsidRPr="00E0151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geneeskunde</w:t>
      </w:r>
      <w:proofErr w:type="spellEnd"/>
    </w:p>
    <w:p w:rsidR="007D0296" w:rsidRPr="007D0296" w:rsidRDefault="007D0296" w:rsidP="00E01515">
      <w:pPr>
        <w:numPr>
          <w:ilvl w:val="0"/>
          <w:numId w:val="12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POH</w:t>
      </w:r>
      <w:r w:rsidR="00206D3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 xml:space="preserve"> / </w:t>
      </w:r>
      <w:proofErr w:type="spellStart"/>
      <w:r w:rsidR="00206D35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praktijkverpleegkundige</w:t>
      </w:r>
      <w:proofErr w:type="spellEnd"/>
    </w:p>
    <w:p w:rsidR="007D0296" w:rsidRPr="007D0296" w:rsidRDefault="007D0296" w:rsidP="00E015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val="en" w:eastAsia="nl-NL"/>
        </w:rPr>
        <w:t>Huisarts</w:t>
      </w:r>
    </w:p>
    <w:p w:rsidR="007D0296" w:rsidRPr="007D0296" w:rsidRDefault="007D0296" w:rsidP="007D02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7D0296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Deze leergang is erkend door Pontifex. Het certificaat is na afloop van de toetsing 2 jaar geldig</w:t>
      </w:r>
      <w:r w:rsidR="00206D35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.</w:t>
      </w:r>
    </w:p>
    <w:p w:rsidR="004751FF" w:rsidRPr="00F21B89" w:rsidRDefault="004751FF" w:rsidP="007D0296">
      <w:pPr>
        <w:rPr>
          <w:sz w:val="20"/>
          <w:szCs w:val="20"/>
        </w:rPr>
      </w:pPr>
    </w:p>
    <w:sectPr w:rsidR="004751FF" w:rsidRPr="00F2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05"/>
    <w:multiLevelType w:val="hybridMultilevel"/>
    <w:tmpl w:val="89063F00"/>
    <w:lvl w:ilvl="0" w:tplc="B242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C"/>
      </w:rPr>
    </w:lvl>
    <w:lvl w:ilvl="1" w:tplc="7A324AA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CC006C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469E"/>
    <w:multiLevelType w:val="multilevel"/>
    <w:tmpl w:val="BBD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17147"/>
    <w:multiLevelType w:val="multilevel"/>
    <w:tmpl w:val="180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01A37"/>
    <w:multiLevelType w:val="multilevel"/>
    <w:tmpl w:val="AA0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F3A9B"/>
    <w:multiLevelType w:val="multilevel"/>
    <w:tmpl w:val="F57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990"/>
    <w:multiLevelType w:val="hybridMultilevel"/>
    <w:tmpl w:val="DC206A4A"/>
    <w:lvl w:ilvl="0" w:tplc="B242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C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FCB"/>
    <w:multiLevelType w:val="multilevel"/>
    <w:tmpl w:val="3FA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43466"/>
    <w:multiLevelType w:val="multilevel"/>
    <w:tmpl w:val="D94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121E0"/>
    <w:multiLevelType w:val="hybridMultilevel"/>
    <w:tmpl w:val="8F0E7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29B8"/>
    <w:multiLevelType w:val="multilevel"/>
    <w:tmpl w:val="3F5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4685E"/>
    <w:multiLevelType w:val="multilevel"/>
    <w:tmpl w:val="52A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001F7"/>
    <w:multiLevelType w:val="multilevel"/>
    <w:tmpl w:val="42B8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476E3"/>
    <w:multiLevelType w:val="multilevel"/>
    <w:tmpl w:val="497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347E9"/>
    <w:multiLevelType w:val="hybridMultilevel"/>
    <w:tmpl w:val="E1227C58"/>
    <w:lvl w:ilvl="0" w:tplc="7A324A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CC006C"/>
      </w:rPr>
    </w:lvl>
    <w:lvl w:ilvl="1" w:tplc="7A324AA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CC006C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075F4"/>
    <w:multiLevelType w:val="hybridMultilevel"/>
    <w:tmpl w:val="DA86FABA"/>
    <w:lvl w:ilvl="0" w:tplc="B242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A1705"/>
    <w:multiLevelType w:val="multilevel"/>
    <w:tmpl w:val="C27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F7479"/>
    <w:multiLevelType w:val="multilevel"/>
    <w:tmpl w:val="131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01CE0"/>
    <w:multiLevelType w:val="multilevel"/>
    <w:tmpl w:val="C7A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7A24"/>
    <w:multiLevelType w:val="multilevel"/>
    <w:tmpl w:val="227A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94537"/>
    <w:multiLevelType w:val="multilevel"/>
    <w:tmpl w:val="FE9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97550"/>
    <w:multiLevelType w:val="multilevel"/>
    <w:tmpl w:val="92F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19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96"/>
    <w:rsid w:val="00057C75"/>
    <w:rsid w:val="00206D35"/>
    <w:rsid w:val="002B3A27"/>
    <w:rsid w:val="003A655D"/>
    <w:rsid w:val="004751FF"/>
    <w:rsid w:val="0064654A"/>
    <w:rsid w:val="007D0296"/>
    <w:rsid w:val="007E6172"/>
    <w:rsid w:val="00912218"/>
    <w:rsid w:val="00B53E78"/>
    <w:rsid w:val="00C80BCC"/>
    <w:rsid w:val="00E01515"/>
    <w:rsid w:val="00F21B89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D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D029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D0296"/>
    <w:rPr>
      <w:b/>
      <w:bCs/>
    </w:rPr>
  </w:style>
  <w:style w:type="paragraph" w:styleId="Lijstalinea">
    <w:name w:val="List Paragraph"/>
    <w:basedOn w:val="Standaard"/>
    <w:uiPriority w:val="34"/>
    <w:qFormat/>
    <w:rsid w:val="007D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D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D029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D0296"/>
    <w:rPr>
      <w:b/>
      <w:bCs/>
    </w:rPr>
  </w:style>
  <w:style w:type="paragraph" w:styleId="Lijstalinea">
    <w:name w:val="List Paragraph"/>
    <w:basedOn w:val="Standaard"/>
    <w:uiPriority w:val="34"/>
    <w:qFormat/>
    <w:rsid w:val="007D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61B5C05F.dotm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Yolande van Rosberg</cp:lastModifiedBy>
  <cp:revision>4</cp:revision>
  <dcterms:created xsi:type="dcterms:W3CDTF">2014-06-06T12:47:00Z</dcterms:created>
  <dcterms:modified xsi:type="dcterms:W3CDTF">2014-06-10T15:28:00Z</dcterms:modified>
</cp:coreProperties>
</file>